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before="500"/>
        <w:jc w:val="center"/>
      </w:pPr>
      <w:r>
        <w:drawing>
          <wp:inline distT="0" distB="0" distL="0" distR="0">
            <wp:extent cx="142875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428750" cy="1657350"/>
                    </a:xfrm>
                    <a:prstGeom prst="rect">
                      <a:avLst/>
                    </a:prstGeom>
                  </pic:spPr>
                </pic:pic>
              </a:graphicData>
            </a:graphic>
          </wp:inline>
        </w:drawing>
      </w:r>
    </w:p>
    <w:p>
      <w:pPr>
        <w:spacing w:after="10"/>
        <w:jc w:val="center"/>
      </w:pPr>
      <w:r>
        <w:rPr>
          <w:rFonts w:ascii="Times New Roman" w:cs="Times New Roman" w:eastAsia="Times New Roman" w:hAnsi="Times New Roman"/>
          <w:b/>
          <w:bCs/>
          <w:color w:val="0F2233"/>
          <w:spacing w:val="40"/>
          <w:sz w:val="18"/>
          <w:szCs w:val="18"/>
        </w:rPr>
        <w:t xml:space="preserve">MOLOI ENERGY</w:t>
      </w:r>
    </w:p>
    <w:p>
      <w:pPr>
        <w:spacing w:after="600"/>
        <w:jc w:val="center"/>
      </w:pPr>
      <w:r>
        <w:rPr>
          <w:rFonts w:ascii="Times New Roman" w:cs="Times New Roman" w:eastAsia="Times New Roman" w:hAnsi="Times New Roman"/>
          <w:color w:val="9C7A3C"/>
          <w:spacing w:val="60"/>
          <w:sz w:val="12"/>
          <w:szCs w:val="12"/>
        </w:rPr>
        <w:t xml:space="preserve">H O L D I N G S</w:t>
      </w:r>
    </w:p>
    <w:p>
      <w:pPr>
        <w:spacing w:after="220"/>
        <w:jc w:val="center"/>
      </w:pPr>
      <w:r>
        <w:rPr>
          <w:rFonts w:ascii="Times New Roman" w:cs="Times New Roman" w:eastAsia="Times New Roman" w:hAnsi="Times New Roman"/>
          <w:b/>
          <w:bCs/>
          <w:color w:val="A65D19"/>
          <w:spacing w:val="10"/>
          <w:sz w:val="16"/>
          <w:szCs w:val="16"/>
        </w:rPr>
        <w:t xml:space="preserve">DRAFT TEMPLATE  ·  FOR DISCUSSION PURPOSES ONLY</w:t>
      </w:r>
    </w:p>
    <w:p>
      <w:pPr>
        <w:pBdr>
          <w:bottom w:val="single" w:color="C9B37A" w:sz="6" w:space="1"/>
        </w:pBdr>
        <w:spacing w:after="0" w:before="0"/>
      </w:pPr>
    </w:p>
    <w:p>
      <w:pPr>
        <w:spacing w:after="10" w:before="280"/>
        <w:jc w:val="center"/>
      </w:pPr>
      <w:r>
        <w:rPr>
          <w:rFonts w:ascii="Times New Roman" w:cs="Times New Roman" w:eastAsia="Times New Roman" w:hAnsi="Times New Roman"/>
          <w:b/>
          <w:bCs/>
          <w:color w:val="0F2233"/>
          <w:sz w:val="48"/>
          <w:szCs w:val="48"/>
        </w:rPr>
        <w:t xml:space="preserve">POWER PURCHASE AGREEMENT</w:t>
      </w:r>
    </w:p>
    <w:p>
      <w:pPr>
        <w:spacing w:after="280" w:before="140"/>
        <w:jc w:val="center"/>
      </w:pPr>
      <w:r>
        <w:rPr>
          <w:rFonts w:ascii="Times New Roman" w:cs="Times New Roman" w:eastAsia="Times New Roman" w:hAnsi="Times New Roman"/>
          <w:i/>
          <w:iCs/>
          <w:color w:val="595959"/>
          <w:sz w:val="21"/>
          <w:szCs w:val="21"/>
        </w:rPr>
        <w:t xml:space="preserve">relating to the sale and purchase of electricity generated by a
utility-scale solar photovoltaic facility</w:t>
      </w:r>
    </w:p>
    <w:p>
      <w:pPr>
        <w:pBdr>
          <w:bottom w:val="single" w:color="C9B37A" w:sz="6" w:space="1"/>
        </w:pBdr>
        <w:spacing w:after="0" w:before="0"/>
      </w:pPr>
    </w:p>
    <w:p>
      <w:pPr>
        <w:spacing w:after="100" w:before="440"/>
        <w:jc w:val="center"/>
      </w:pPr>
      <w:r>
        <w:rPr>
          <w:rFonts w:ascii="Times New Roman" w:cs="Times New Roman" w:eastAsia="Times New Roman" w:hAnsi="Times New Roman"/>
          <w:color w:val="595959"/>
          <w:spacing w:val="20"/>
          <w:sz w:val="17"/>
          <w:szCs w:val="17"/>
        </w:rPr>
        <w:t xml:space="preserve">BETWEEN</w:t>
      </w:r>
    </w:p>
    <w:p>
      <w:pPr>
        <w:spacing w:after="40"/>
        <w:jc w:val="center"/>
      </w:pPr>
      <w:r>
        <w:rPr>
          <w:rFonts w:ascii="Times New Roman" w:cs="Times New Roman" w:eastAsia="Times New Roman" w:hAnsi="Times New Roman"/>
          <w:b/>
          <w:bCs/>
          <w:color w:val="0F2233"/>
          <w:sz w:val="23"/>
          <w:szCs w:val="23"/>
        </w:rPr>
        <w:t xml:space="preserve">MOLOI ENERGY HOLDINGS (PTY) LTD</w:t>
      </w:r>
    </w:p>
    <w:p>
      <w:pPr>
        <w:spacing w:after="280"/>
        <w:jc w:val="center"/>
      </w:pPr>
      <w:r>
        <w:rPr>
          <w:rFonts w:ascii="Times New Roman" w:cs="Times New Roman" w:eastAsia="Times New Roman" w:hAnsi="Times New Roman"/>
          <w:i/>
          <w:iCs/>
          <w:color w:val="595959"/>
          <w:sz w:val="18"/>
          <w:szCs w:val="18"/>
        </w:rPr>
        <w:t xml:space="preserve">(Registration No. 2025/968642/07)   —   “the Seller”</w:t>
      </w:r>
    </w:p>
    <w:p>
      <w:pPr>
        <w:spacing w:after="100"/>
        <w:jc w:val="center"/>
      </w:pPr>
      <w:r>
        <w:rPr>
          <w:rFonts w:ascii="Times New Roman" w:cs="Times New Roman" w:eastAsia="Times New Roman" w:hAnsi="Times New Roman"/>
          <w:color w:val="595959"/>
          <w:spacing w:val="20"/>
          <w:sz w:val="17"/>
          <w:szCs w:val="17"/>
        </w:rPr>
        <w:t xml:space="preserve">AND</w:t>
      </w:r>
    </w:p>
    <w:p>
      <w:pPr>
        <w:spacing w:after="40"/>
        <w:jc w:val="center"/>
      </w:pPr>
      <w:r>
        <w:rPr>
          <w:rFonts w:ascii="Times New Roman" w:cs="Times New Roman" w:eastAsia="Times New Roman" w:hAnsi="Times New Roman"/>
          <w:i/>
          <w:iCs/>
          <w:color w:val="A65D19"/>
          <w:sz w:val="20"/>
          <w:szCs w:val="20"/>
        </w:rPr>
        <w:t xml:space="preserve">[FULL LEGAL NAME OF OFFTAKER]</w:t>
      </w:r>
    </w:p>
    <w:p>
      <w:pPr>
        <w:spacing w:after="700"/>
        <w:jc w:val="center"/>
      </w:pPr>
      <w:r>
        <w:rPr>
          <w:rFonts w:ascii="Times New Roman" w:cs="Times New Roman" w:eastAsia="Times New Roman" w:hAnsi="Times New Roman"/>
          <w:i/>
          <w:iCs/>
          <w:color w:val="A65D19"/>
          <w:sz w:val="20"/>
          <w:szCs w:val="20"/>
        </w:rPr>
        <w:t xml:space="preserve">(Registration No. [        ])   —   “the Buyer”</w:t>
      </w:r>
    </w:p>
    <w:p>
      <w:pPr>
        <w:jc w:val="center"/>
      </w:pPr>
      <w:r>
        <w:rPr>
          <w:rFonts w:ascii="Times New Roman" w:cs="Times New Roman" w:eastAsia="Times New Roman" w:hAnsi="Times New Roman"/>
          <w:i/>
          <w:iCs/>
          <w:color w:val="A65D19"/>
          <w:sz w:val="20"/>
          <w:szCs w:val="20"/>
        </w:rPr>
        <w:t xml:space="preserve">Dated this [   ] day of [        ], 20[  ]</w:t>
      </w:r>
    </w:p>
    <w:p>
      <w:r>
        <w:br w:type="page"/>
      </w:r>
    </w:p>
    <w:p>
      <w:pPr>
        <w:sectPr>
          <w:headerReference w:type="default" r:id="rId7"/>
          <w:footerReference w:type="default" r:id="rId8"/>
          <w:pgSz w:w="11900" w:h="16840" w:orient="portrait"/>
          <w:pgMar w:top="1400" w:right="1500" w:bottom="1400" w:left="1500" w:header="708" w:footer="708" w:gutter="0"/>
          <w:pgNumType/>
          <w:docGrid w:linePitch="360"/>
        </w:sectPr>
      </w:pPr>
    </w:p>
    <w:p>
      <w:pPr>
        <w:pStyle w:val="Heading1"/>
        <w:pBdr>
          <w:bottom w:val="single" w:color="C9B37A" w:sz="4" w:space="5"/>
        </w:pBdr>
        <w:spacing w:after="180"/>
      </w:pPr>
      <w:r>
        <w:rPr>
          <w:rFonts w:ascii="Times New Roman" w:cs="Times New Roman" w:eastAsia="Times New Roman" w:hAnsi="Times New Roman"/>
          <w:b/>
          <w:bCs/>
          <w:color w:val="0F2233"/>
          <w:spacing w:val="10"/>
          <w:sz w:val="23"/>
          <w:szCs w:val="23"/>
        </w:rPr>
        <w:t xml:space="preserve">IMPORTANT NOTICE</w:t>
      </w:r>
    </w:p>
    <w:p>
      <w:pPr>
        <w:spacing w:after="150" w:line="300"/>
        <w:jc w:val="both"/>
      </w:pPr>
      <w:r>
        <w:rPr>
          <w:rFonts w:ascii="Times New Roman" w:cs="Times New Roman" w:eastAsia="Times New Roman" w:hAnsi="Times New Roman"/>
          <w:color w:val="595959"/>
          <w:sz w:val="20"/>
          <w:szCs w:val="20"/>
        </w:rPr>
        <w:t xml:space="preserve">This document is a drafting template prepared for Moloi Energy Holdings (Pty) Ltd for discussion purposes only. It is intended to provide a structural starting point for negotiating a Power Purchase Agreement (“PPA”) with a prospective electricity offtaker, and does not constitute legal advice.</w:t>
      </w:r>
    </w:p>
    <w:p>
      <w:pPr>
        <w:spacing w:after="150" w:line="300"/>
        <w:jc w:val="both"/>
      </w:pPr>
      <w:r>
        <w:rPr>
          <w:rFonts w:ascii="Times New Roman" w:cs="Times New Roman" w:eastAsia="Times New Roman" w:hAnsi="Times New Roman"/>
          <w:color w:val="595959"/>
          <w:sz w:val="20"/>
          <w:szCs w:val="20"/>
        </w:rPr>
        <w:t xml:space="preserve">Bracketed text in italics indicates placeholders, commercial terms, or drafting notes that must be completed, reviewed, and adapted to the specific transaction. This template must be reviewed, finalised, and tailored by qualified South African energy and commercial legal counsel before execution. It does not account for the specific regulatory position (NERSA licensing or registration, Eskom wheeling framework, municipal distribution licence area), credit profile, or risk allocation appropriate to any specific counterparty or transaction.</w:t>
      </w:r>
    </w:p>
    <w:p>
      <w:pPr>
        <w:spacing w:after="150" w:line="300"/>
        <w:jc w:val="both"/>
      </w:pPr>
      <w:r>
        <w:rPr>
          <w:rFonts w:ascii="Times New Roman" w:cs="Times New Roman" w:eastAsia="Times New Roman" w:hAnsi="Times New Roman"/>
          <w:color w:val="595959"/>
          <w:sz w:val="20"/>
          <w:szCs w:val="20"/>
        </w:rPr>
        <w:t xml:space="preserve">Nothing in this template should be relied upon as a complete or binding agreement, nor as a substitute for professional legal, tax, or technical advice.</w:t>
      </w:r>
    </w:p>
    <w:p>
      <w:r>
        <w:br w:type="page"/>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  PARTIES</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1.1	</w:t>
      </w:r>
      <w:r>
        <w:rPr>
          <w:rFonts w:ascii="Times New Roman" w:cs="Times New Roman" w:eastAsia="Times New Roman" w:hAnsi="Times New Roman"/>
          <w:sz w:val="20"/>
          <w:szCs w:val="20"/>
        </w:rPr>
        <w:t xml:space="preserve">Moloi Energy Holdings (Pty) Ltd, a private company duly incorporated in accordance with the company laws of the Republic of South Africa, registration number 2025/968642/07, with its registered address at</w:t>
      </w:r>
    </w:p>
    <w:p>
      <w:pPr>
        <w:spacing w:after="150" w:line="300"/>
        <w:ind w:left="380"/>
      </w:pPr>
      <w:r>
        <w:rPr>
          <w:rFonts w:ascii="Times New Roman" w:cs="Times New Roman" w:eastAsia="Times New Roman" w:hAnsi="Times New Roman"/>
          <w:i/>
          <w:iCs/>
          <w:color w:val="A65D19"/>
          <w:sz w:val="20"/>
          <w:szCs w:val="20"/>
        </w:rPr>
        <w:t xml:space="preserve">[registered address] (“the Seller”);</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1.2	</w:t>
      </w:r>
      <w:r>
        <w:rPr>
          <w:rFonts w:ascii="Times New Roman" w:cs="Times New Roman" w:eastAsia="Times New Roman" w:hAnsi="Times New Roman"/>
          <w:sz w:val="20"/>
          <w:szCs w:val="20"/>
        </w:rPr>
        <w:t xml:space="preserve">and</w:t>
      </w:r>
    </w:p>
    <w:p>
      <w:pPr>
        <w:spacing w:after="150" w:line="300"/>
        <w:ind w:left="380"/>
      </w:pPr>
      <w:r>
        <w:rPr>
          <w:rFonts w:ascii="Times New Roman" w:cs="Times New Roman" w:eastAsia="Times New Roman" w:hAnsi="Times New Roman"/>
          <w:i/>
          <w:iCs/>
          <w:color w:val="A65D19"/>
          <w:sz w:val="20"/>
          <w:szCs w:val="20"/>
        </w:rPr>
        <w:t xml:space="preserve">[FULL LEGAL NAME], registration number [        ], a company duly incorporated in accordance with the laws of [jurisdiction], with its registered address at [address] (“the Buyer”).</w:t>
      </w:r>
    </w:p>
    <w:p>
      <w:pPr>
        <w:spacing w:after="150" w:line="300"/>
        <w:jc w:val="both"/>
      </w:pPr>
      <w:r>
        <w:rPr>
          <w:rFonts w:ascii="Times New Roman" w:cs="Times New Roman" w:eastAsia="Times New Roman" w:hAnsi="Times New Roman"/>
          <w:sz w:val="20"/>
          <w:szCs w:val="20"/>
        </w:rPr>
        <w:t xml:space="preserve">(each a “Party” and collectively the “Parties”)</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2.  RECITALS</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2.1	</w:t>
      </w:r>
      <w:r>
        <w:rPr>
          <w:rFonts w:ascii="Times New Roman" w:cs="Times New Roman" w:eastAsia="Times New Roman" w:hAnsi="Times New Roman"/>
          <w:sz w:val="20"/>
          <w:szCs w:val="20"/>
        </w:rPr>
        <w:t xml:space="preserve">The Seller is developing, constructing, owning and operating a utility-scale solar photovoltaic electricity generation facility located near Upington, in the Northern Cape Province of South Africa, with an installed capacity of up to</w:t>
      </w:r>
    </w:p>
    <w:p>
      <w:pPr>
        <w:spacing w:after="150" w:line="300"/>
        <w:ind w:left="380"/>
      </w:pPr>
      <w:r>
        <w:rPr>
          <w:rFonts w:ascii="Times New Roman" w:cs="Times New Roman" w:eastAsia="Times New Roman" w:hAnsi="Times New Roman"/>
          <w:i/>
          <w:iCs/>
          <w:color w:val="A65D19"/>
          <w:sz w:val="20"/>
          <w:szCs w:val="20"/>
        </w:rPr>
        <w:t xml:space="preserve">[650] MW (“the Facility”).</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2.2	</w:t>
      </w:r>
      <w:r>
        <w:rPr>
          <w:rFonts w:ascii="Times New Roman" w:cs="Times New Roman" w:eastAsia="Times New Roman" w:hAnsi="Times New Roman"/>
          <w:sz w:val="20"/>
          <w:szCs w:val="20"/>
        </w:rPr>
        <w:t xml:space="preserve">The Buyer wishes to purchase, and the Seller wishes to sell, electricity generated by the Facility, on the terms and subject to the conditions set out in this Agreement.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2.3	</w:t>
      </w:r>
      <w:r>
        <w:rPr>
          <w:rFonts w:ascii="Times New Roman" w:cs="Times New Roman" w:eastAsia="Times New Roman" w:hAnsi="Times New Roman"/>
          <w:sz w:val="20"/>
          <w:szCs w:val="20"/>
        </w:rPr>
        <w:t xml:space="preserve">The Parties intend that electricity will be delivered to the Buyer either by direct physical connection, or by way of a wheeling arrangement over the Eskom and/or relevant municipal distribution network, as more fully set out in Schedule 2.</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3.  DEFINITIONS AND INTERPRETATION</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3.1	</w:t>
      </w:r>
      <w:r>
        <w:rPr>
          <w:rFonts w:ascii="Times New Roman" w:cs="Times New Roman" w:eastAsia="Times New Roman" w:hAnsi="Times New Roman"/>
          <w:sz w:val="20"/>
          <w:szCs w:val="20"/>
        </w:rPr>
        <w:t xml:space="preserve">In this Agreement, unless the context indicates otherwise, the following terms shall have the meanings set out below:</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(a)	</w:t>
      </w:r>
      <w:r>
        <w:rPr>
          <w:rFonts w:ascii="Times New Roman" w:cs="Times New Roman" w:eastAsia="Times New Roman" w:hAnsi="Times New Roman"/>
          <w:sz w:val="20"/>
          <w:szCs w:val="20"/>
        </w:rPr>
        <w:t xml:space="preserve">“Agreement” means this Power Purchase Agreement, including all Schedules and annexures thereto;</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(b)	</w:t>
      </w:r>
      <w:r>
        <w:rPr>
          <w:rFonts w:ascii="Times New Roman" w:cs="Times New Roman" w:eastAsia="Times New Roman" w:hAnsi="Times New Roman"/>
          <w:sz w:val="20"/>
          <w:szCs w:val="20"/>
        </w:rPr>
        <w:t xml:space="preserve">“Business Day” means any day other than a Saturday, Sunday or official public holiday in the Republic of South Africa;</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(c)	</w:t>
      </w:r>
      <w:r>
        <w:rPr>
          <w:rFonts w:ascii="Times New Roman" w:cs="Times New Roman" w:eastAsia="Times New Roman" w:hAnsi="Times New Roman"/>
          <w:sz w:val="20"/>
          <w:szCs w:val="20"/>
        </w:rPr>
        <w:t xml:space="preserve">“Commercial Operation Date” or “COD” means the date on which the Facility first achieves commercial operation in accordance with Schedule 1;</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(d)	</w:t>
      </w:r>
      <w:r>
        <w:rPr>
          <w:rFonts w:ascii="Times New Roman" w:cs="Times New Roman" w:eastAsia="Times New Roman" w:hAnsi="Times New Roman"/>
          <w:sz w:val="20"/>
          <w:szCs w:val="20"/>
        </w:rPr>
        <w:t xml:space="preserve">“Contract Capacity” means the quantity of electricity which the Seller agrees to make available and the Buyer agrees to purchase, as set out in Schedule 1;</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(e)	</w:t>
      </w:r>
      <w:r>
        <w:rPr>
          <w:rFonts w:ascii="Times New Roman" w:cs="Times New Roman" w:eastAsia="Times New Roman" w:hAnsi="Times New Roman"/>
          <w:sz w:val="20"/>
          <w:szCs w:val="20"/>
        </w:rPr>
        <w:t xml:space="preserve">“Contract Year” means each 12-month period commencing on the Commercial Operation Date or an anniversary thereof;</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(f)	</w:t>
      </w:r>
      <w:r>
        <w:rPr>
          <w:rFonts w:ascii="Times New Roman" w:cs="Times New Roman" w:eastAsia="Times New Roman" w:hAnsi="Times New Roman"/>
          <w:sz w:val="20"/>
          <w:szCs w:val="20"/>
        </w:rPr>
        <w:t xml:space="preserve">“Curtailment” means a reduction in the output of the Facility, or in electricity delivered to the Buyer, whether instructed by Eskom, the relevant network operator, or otherwise required under applicable grid codes or this Agreement;</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(g)	</w:t>
      </w:r>
      <w:r>
        <w:rPr>
          <w:rFonts w:ascii="Times New Roman" w:cs="Times New Roman" w:eastAsia="Times New Roman" w:hAnsi="Times New Roman"/>
          <w:sz w:val="20"/>
          <w:szCs w:val="20"/>
        </w:rPr>
        <w:t xml:space="preserve">“Delivery Point” means the point at which electricity generated by the Facility is delivered to the Buyer, as specified in Schedule 2;</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(h)	</w:t>
      </w:r>
      <w:r>
        <w:rPr>
          <w:rFonts w:ascii="Times New Roman" w:cs="Times New Roman" w:eastAsia="Times New Roman" w:hAnsi="Times New Roman"/>
          <w:sz w:val="20"/>
          <w:szCs w:val="20"/>
        </w:rPr>
        <w:t xml:space="preserve">“Eskom” means Eskom Holdings SOC Ltd, or its successors in title;</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(i)	</w:t>
      </w:r>
      <w:r>
        <w:rPr>
          <w:rFonts w:ascii="Times New Roman" w:cs="Times New Roman" w:eastAsia="Times New Roman" w:hAnsi="Times New Roman"/>
          <w:sz w:val="20"/>
          <w:szCs w:val="20"/>
        </w:rPr>
        <w:t xml:space="preserve">“Facility” means the solar photovoltaic generation facility described in Recital 2.1;</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(j)	</w:t>
      </w:r>
      <w:r>
        <w:rPr>
          <w:rFonts w:ascii="Times New Roman" w:cs="Times New Roman" w:eastAsia="Times New Roman" w:hAnsi="Times New Roman"/>
          <w:sz w:val="20"/>
          <w:szCs w:val="20"/>
        </w:rPr>
        <w:t xml:space="preserve">“Force Majeure” has the meaning given in Clause 14;</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(k)	</w:t>
      </w:r>
      <w:r>
        <w:rPr>
          <w:rFonts w:ascii="Times New Roman" w:cs="Times New Roman" w:eastAsia="Times New Roman" w:hAnsi="Times New Roman"/>
          <w:sz w:val="20"/>
          <w:szCs w:val="20"/>
        </w:rPr>
        <w:t xml:space="preserve">“NERSA” means the National Energy Regulator of South Africa;</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(l)	</w:t>
      </w:r>
      <w:r>
        <w:rPr>
          <w:rFonts w:ascii="Times New Roman" w:cs="Times New Roman" w:eastAsia="Times New Roman" w:hAnsi="Times New Roman"/>
          <w:sz w:val="20"/>
          <w:szCs w:val="20"/>
        </w:rPr>
        <w:t xml:space="preserve">“Tariff” means the price per kWh payable by the Buyer for electricity delivered under this Agreement, as set out in Schedule 1;</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(m)	</w:t>
      </w:r>
      <w:r>
        <w:rPr>
          <w:rFonts w:ascii="Times New Roman" w:cs="Times New Roman" w:eastAsia="Times New Roman" w:hAnsi="Times New Roman"/>
          <w:sz w:val="20"/>
          <w:szCs w:val="20"/>
        </w:rPr>
        <w:t xml:space="preserve">“Term” means the period referred to in Clause 4;</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(n)	</w:t>
      </w:r>
      <w:r>
        <w:rPr>
          <w:rFonts w:ascii="Times New Roman" w:cs="Times New Roman" w:eastAsia="Times New Roman" w:hAnsi="Times New Roman"/>
          <w:sz w:val="20"/>
          <w:szCs w:val="20"/>
        </w:rPr>
        <w:t xml:space="preserve">“Wheeling Agreement” means any use-of-system or wheeling agreement concluded with Eskom and/or the relevant municipal distributor to enable delivery of electricity to the Delivery Point.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3.2	</w:t>
      </w:r>
      <w:r>
        <w:rPr>
          <w:rFonts w:ascii="Times New Roman" w:cs="Times New Roman" w:eastAsia="Times New Roman" w:hAnsi="Times New Roman"/>
          <w:sz w:val="20"/>
          <w:szCs w:val="20"/>
        </w:rPr>
        <w:t xml:space="preserve">Headings are for convenience only and do not affect interpretation. Words importing the singular include the plural and vice versa. Reference to a Clause or Schedule is to a Clause or Schedule of this Agreement, unless stated otherwise.</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4.  TERM AND CONDITIONS PRECEDENT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4.1	</w:t>
      </w:r>
      <w:r>
        <w:rPr>
          <w:rFonts w:ascii="Times New Roman" w:cs="Times New Roman" w:eastAsia="Times New Roman" w:hAnsi="Times New Roman"/>
          <w:sz w:val="20"/>
          <w:szCs w:val="20"/>
        </w:rPr>
        <w:t xml:space="preserve">This Agreement shall commence on the date of signature by the last Party to sign (“the Signature Date”) and, subject to Clause 4.2, shall continue for a period of</w:t>
      </w:r>
    </w:p>
    <w:p>
      <w:pPr>
        <w:spacing w:after="150" w:line="300"/>
        <w:ind w:left="380"/>
      </w:pPr>
      <w:r>
        <w:rPr>
          <w:rFonts w:ascii="Times New Roman" w:cs="Times New Roman" w:eastAsia="Times New Roman" w:hAnsi="Times New Roman"/>
          <w:i/>
          <w:iCs/>
          <w:color w:val="A65D19"/>
          <w:sz w:val="20"/>
          <w:szCs w:val="20"/>
        </w:rPr>
        <w:t xml:space="preserve">[  ] years from the Commercial Operation Date (“the Term”), unless terminated earlier in accordance with this Agreement.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4.2	</w:t>
      </w:r>
      <w:r>
        <w:rPr>
          <w:rFonts w:ascii="Times New Roman" w:cs="Times New Roman" w:eastAsia="Times New Roman" w:hAnsi="Times New Roman"/>
          <w:sz w:val="20"/>
          <w:szCs w:val="20"/>
        </w:rPr>
        <w:t xml:space="preserve">This Agreement, save for Clauses [Confidentiality, Governing Law, Dispute Resolution], is subject to the fulfilment (or waiver by the Party for whose benefit the condition exists) of the following conditions precedent within [  ] days of the Signature Date:</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(a)	</w:t>
      </w:r>
      <w:r>
        <w:rPr>
          <w:rFonts w:ascii="Times New Roman" w:cs="Times New Roman" w:eastAsia="Times New Roman" w:hAnsi="Times New Roman"/>
          <w:sz w:val="20"/>
          <w:szCs w:val="20"/>
        </w:rPr>
        <w:t xml:space="preserve">the Seller obtaining all necessary generation, environmental, land-use, and grid connection approvals required to construct and operate the Facility;</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(b)	</w:t>
      </w:r>
      <w:r>
        <w:rPr>
          <w:rFonts w:ascii="Times New Roman" w:cs="Times New Roman" w:eastAsia="Times New Roman" w:hAnsi="Times New Roman"/>
          <w:sz w:val="20"/>
          <w:szCs w:val="20"/>
        </w:rPr>
        <w:t xml:space="preserve">the Buyer obtaining any internal, regulatory, or third-party approvals required to enter into this Agreement;</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(c)	</w:t>
      </w:r>
      <w:r>
        <w:rPr>
          <w:rFonts w:ascii="Times New Roman" w:cs="Times New Roman" w:eastAsia="Times New Roman" w:hAnsi="Times New Roman"/>
          <w:sz w:val="20"/>
          <w:szCs w:val="20"/>
        </w:rPr>
        <w:t xml:space="preserve">confirmation of a viable Wheeling Agreement or direct connection arrangement enabling delivery to the Delivery Point;</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(d)	</w:t>
      </w:r>
      <w:r>
        <w:rPr>
          <w:rFonts w:ascii="Times New Roman" w:cs="Times New Roman" w:eastAsia="Times New Roman" w:hAnsi="Times New Roman"/>
          <w:sz w:val="20"/>
          <w:szCs w:val="20"/>
        </w:rPr>
        <w:t xml:space="preserve">[the Seller achieving Financial Close in respect of the Facility].</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5.  SALE AND PURCHASE OF ELECTRICITY</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5.1	</w:t>
      </w:r>
      <w:r>
        <w:rPr>
          <w:rFonts w:ascii="Times New Roman" w:cs="Times New Roman" w:eastAsia="Times New Roman" w:hAnsi="Times New Roman"/>
          <w:sz w:val="20"/>
          <w:szCs w:val="20"/>
        </w:rPr>
        <w:t xml:space="preserve">Subject to the terms of this Agreement, the Seller shall sell and deliver, and the Buyer shall purchase and take delivery of, electricity generated by the Facility up to the Contract Capacity.</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5.2	</w:t>
      </w:r>
      <w:r>
        <w:rPr>
          <w:rFonts w:ascii="Times New Roman" w:cs="Times New Roman" w:eastAsia="Times New Roman" w:hAnsi="Times New Roman"/>
          <w:sz w:val="20"/>
          <w:szCs w:val="20"/>
        </w:rPr>
        <w:t xml:space="preserve">Electricity delivered under this Agreement shall be</w:t>
      </w:r>
    </w:p>
    <w:p>
      <w:pPr>
        <w:spacing w:after="150" w:line="300"/>
        <w:ind w:left="380"/>
      </w:pPr>
      <w:r>
        <w:rPr>
          <w:rFonts w:ascii="Times New Roman" w:cs="Times New Roman" w:eastAsia="Times New Roman" w:hAnsi="Times New Roman"/>
          <w:i/>
          <w:iCs/>
          <w:color w:val="A65D19"/>
          <w:sz w:val="20"/>
          <w:szCs w:val="20"/>
        </w:rPr>
        <w:t xml:space="preserve">[as-generated / firm, subject to availability, in accordance with Schedule 1].</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5.3	</w:t>
      </w:r>
      <w:r>
        <w:rPr>
          <w:rFonts w:ascii="Times New Roman" w:cs="Times New Roman" w:eastAsia="Times New Roman" w:hAnsi="Times New Roman"/>
          <w:sz w:val="20"/>
          <w:szCs w:val="20"/>
        </w:rPr>
        <w:t xml:space="preserve">The Parties shall agree the treatment of electricity generated in excess of, or short of, the Contract Capacity in any settlement period, as set out in Schedule 3.</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5.4	</w:t>
      </w:r>
      <w:r>
        <w:rPr>
          <w:rFonts w:ascii="Times New Roman" w:cs="Times New Roman" w:eastAsia="Times New Roman" w:hAnsi="Times New Roman"/>
          <w:sz w:val="20"/>
          <w:szCs w:val="20"/>
        </w:rPr>
        <w:t xml:space="preserve">Save as otherwise agreed, the Buyer shall purchase electricity exclusively from the Seller up to the Contract Capacity during the Term, and the Seller shall not sell electricity generated by the Facility and attributable to the Contract Capacity to any third party.</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6.  DELIVERY POINT AND WHEELING</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6.1	</w:t>
      </w:r>
      <w:r>
        <w:rPr>
          <w:rFonts w:ascii="Times New Roman" w:cs="Times New Roman" w:eastAsia="Times New Roman" w:hAnsi="Times New Roman"/>
          <w:sz w:val="20"/>
          <w:szCs w:val="20"/>
        </w:rPr>
        <w:t xml:space="preserve">Electricity shall be delivered to the Buyer at the Delivery Point specified in Schedule 2.</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6.2	</w:t>
      </w:r>
      <w:r>
        <w:rPr>
          <w:rFonts w:ascii="Times New Roman" w:cs="Times New Roman" w:eastAsia="Times New Roman" w:hAnsi="Times New Roman"/>
          <w:sz w:val="20"/>
          <w:szCs w:val="20"/>
        </w:rPr>
        <w:t xml:space="preserve">Where delivery is effected by means of a wheeling arrangement, the Seller and/or Buyer (as agreed) shall be responsible for concluding and maintaining the relevant Wheeling Agreement(s) with Eskom and/or the applicable municipal distributor, and the costs thereof shall be allocated as set out in Schedule 2.</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6.3	</w:t>
      </w:r>
      <w:r>
        <w:rPr>
          <w:rFonts w:ascii="Times New Roman" w:cs="Times New Roman" w:eastAsia="Times New Roman" w:hAnsi="Times New Roman"/>
          <w:sz w:val="20"/>
          <w:szCs w:val="20"/>
        </w:rPr>
        <w:t xml:space="preserve">Risk and title in electricity delivered under this Agreement shall pass from the Seller to the Buyer at the Delivery Point.</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7.  TARIFF AND PAYMENT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7.1	</w:t>
      </w:r>
      <w:r>
        <w:rPr>
          <w:rFonts w:ascii="Times New Roman" w:cs="Times New Roman" w:eastAsia="Times New Roman" w:hAnsi="Times New Roman"/>
          <w:sz w:val="20"/>
          <w:szCs w:val="20"/>
        </w:rPr>
        <w:t xml:space="preserve">The Buyer shall pay the Seller for electricity delivered under this Agreement at the Tariff set out in Schedule 1.</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7.2	</w:t>
      </w:r>
      <w:r>
        <w:rPr>
          <w:rFonts w:ascii="Times New Roman" w:cs="Times New Roman" w:eastAsia="Times New Roman" w:hAnsi="Times New Roman"/>
          <w:sz w:val="20"/>
          <w:szCs w:val="20"/>
        </w:rPr>
        <w:t xml:space="preserve">The Tariff shall escalate annually, on each anniversary of the Commercial Operation Date, by</w:t>
      </w:r>
    </w:p>
    <w:p>
      <w:pPr>
        <w:spacing w:after="150" w:line="300"/>
        <w:ind w:left="380"/>
      </w:pPr>
      <w:r>
        <w:rPr>
          <w:rFonts w:ascii="Times New Roman" w:cs="Times New Roman" w:eastAsia="Times New Roman" w:hAnsi="Times New Roman"/>
          <w:i/>
          <w:iCs/>
          <w:color w:val="A65D19"/>
          <w:sz w:val="20"/>
          <w:szCs w:val="20"/>
        </w:rPr>
        <w:t xml:space="preserve">[the percentage change in CPI / a fixed escalation of [  ]% per annum].</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7.3	</w:t>
      </w:r>
      <w:r>
        <w:rPr>
          <w:rFonts w:ascii="Times New Roman" w:cs="Times New Roman" w:eastAsia="Times New Roman" w:hAnsi="Times New Roman"/>
          <w:sz w:val="20"/>
          <w:szCs w:val="20"/>
        </w:rPr>
        <w:t xml:space="preserve">The Seller shall invoice the Buyer monthly in arrears, based on metered electricity delivered during the preceding month. Invoices shall be payable within</w:t>
      </w:r>
    </w:p>
    <w:p>
      <w:pPr>
        <w:spacing w:after="150" w:line="300"/>
        <w:ind w:left="380"/>
      </w:pPr>
      <w:r>
        <w:rPr>
          <w:rFonts w:ascii="Times New Roman" w:cs="Times New Roman" w:eastAsia="Times New Roman" w:hAnsi="Times New Roman"/>
          <w:i/>
          <w:iCs/>
          <w:color w:val="A65D19"/>
          <w:sz w:val="20"/>
          <w:szCs w:val="20"/>
        </w:rPr>
        <w:t xml:space="preserve">[  ] Business Days of the invoice date.</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7.4	</w:t>
      </w:r>
      <w:r>
        <w:rPr>
          <w:rFonts w:ascii="Times New Roman" w:cs="Times New Roman" w:eastAsia="Times New Roman" w:hAnsi="Times New Roman"/>
          <w:sz w:val="20"/>
          <w:szCs w:val="20"/>
        </w:rPr>
        <w:t xml:space="preserve">Amounts not paid by the due date shall attract interest at the prime overdraft rate of [  ] Bank plus [  ]% per annum, calculated daily and compounded monthly, from the due date until the date of actual payment.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7.5	</w:t>
      </w:r>
      <w:r>
        <w:rPr>
          <w:rFonts w:ascii="Times New Roman" w:cs="Times New Roman" w:eastAsia="Times New Roman" w:hAnsi="Times New Roman"/>
          <w:sz w:val="20"/>
          <w:szCs w:val="20"/>
        </w:rPr>
        <w:t xml:space="preserve">Any invoice disputed in good faith shall be paid when due, save for the disputed portion, which shall be resolved in accordance with Clause 18. Undisputed amounts shall not be withheld pending resolution of a dispute.</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8.  METERING</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8.1	</w:t>
      </w:r>
      <w:r>
        <w:rPr>
          <w:rFonts w:ascii="Times New Roman" w:cs="Times New Roman" w:eastAsia="Times New Roman" w:hAnsi="Times New Roman"/>
          <w:sz w:val="20"/>
          <w:szCs w:val="20"/>
        </w:rPr>
        <w:t xml:space="preserve">All electricity delivered under this Agreement shall be measured by metering equipment installed at or near the Delivery Point, meeting the technical specifications set out in Schedule 2 (“the Metering Equipment”).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8.2	</w:t>
      </w:r>
      <w:r>
        <w:rPr>
          <w:rFonts w:ascii="Times New Roman" w:cs="Times New Roman" w:eastAsia="Times New Roman" w:hAnsi="Times New Roman"/>
          <w:sz w:val="20"/>
          <w:szCs w:val="20"/>
        </w:rPr>
        <w:t xml:space="preserve">The Metering Equipment shall be tested, calibrated, and sealed in accordance with applicable grid code and metering code requirements, at intervals of not less than</w:t>
      </w:r>
    </w:p>
    <w:p>
      <w:pPr>
        <w:spacing w:after="150" w:line="300"/>
        <w:ind w:left="380"/>
      </w:pPr>
      <w:r>
        <w:rPr>
          <w:rFonts w:ascii="Times New Roman" w:cs="Times New Roman" w:eastAsia="Times New Roman" w:hAnsi="Times New Roman"/>
          <w:i/>
          <w:iCs/>
          <w:color w:val="A65D19"/>
          <w:sz w:val="20"/>
          <w:szCs w:val="20"/>
        </w:rPr>
        <w:t xml:space="preserve">[12] months, or as otherwise required by the relevant network operator.</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8.3	</w:t>
      </w:r>
      <w:r>
        <w:rPr>
          <w:rFonts w:ascii="Times New Roman" w:cs="Times New Roman" w:eastAsia="Times New Roman" w:hAnsi="Times New Roman"/>
          <w:sz w:val="20"/>
          <w:szCs w:val="20"/>
        </w:rPr>
        <w:t xml:space="preserve">Where Metering Equipment is found to be inaccurate beyond the tolerance permitted under the applicable metering code, the Parties shall adjust prior invoices for the period during which the inaccuracy is reasonably determined to have existed, up to a maximum look-back period of [  ] months.</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9.  CURTAILMENT AND AVAILABILITY</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9.1	</w:t>
      </w:r>
      <w:r>
        <w:rPr>
          <w:rFonts w:ascii="Times New Roman" w:cs="Times New Roman" w:eastAsia="Times New Roman" w:hAnsi="Times New Roman"/>
          <w:sz w:val="20"/>
          <w:szCs w:val="20"/>
        </w:rPr>
        <w:t xml:space="preserve">The Seller shall not be liable for any failure to deliver electricity to the extent such failure results from Curtailment instructed by Eskom, the relevant network operator, or required under the applicable grid code.</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9.2	</w:t>
      </w:r>
      <w:r>
        <w:rPr>
          <w:rFonts w:ascii="Times New Roman" w:cs="Times New Roman" w:eastAsia="Times New Roman" w:hAnsi="Times New Roman"/>
          <w:sz w:val="20"/>
          <w:szCs w:val="20"/>
        </w:rPr>
        <w:t xml:space="preserve">The Buyer may curtail off-take under this Agreement on [  ] days’ written notice, subject to</w:t>
      </w:r>
    </w:p>
    <w:p>
      <w:pPr>
        <w:spacing w:after="150" w:line="300"/>
        <w:ind w:left="380"/>
      </w:pPr>
      <w:r>
        <w:rPr>
          <w:rFonts w:ascii="Times New Roman" w:cs="Times New Roman" w:eastAsia="Times New Roman" w:hAnsi="Times New Roman"/>
          <w:i/>
          <w:iCs/>
          <w:color w:val="A65D19"/>
          <w:sz w:val="20"/>
          <w:szCs w:val="20"/>
        </w:rPr>
        <w:t xml:space="preserve">[compensation to the Seller for Buyer-instructed Curtailment, calculated as set out in Schedule 3].</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9.3	</w:t>
      </w:r>
      <w:r>
        <w:rPr>
          <w:rFonts w:ascii="Times New Roman" w:cs="Times New Roman" w:eastAsia="Times New Roman" w:hAnsi="Times New Roman"/>
          <w:sz w:val="20"/>
          <w:szCs w:val="20"/>
        </w:rPr>
        <w:t xml:space="preserve">The Seller shall use reasonable endeavours to maintain the availability of the Facility at not less than</w:t>
      </w:r>
    </w:p>
    <w:p>
      <w:pPr>
        <w:spacing w:after="150" w:line="300"/>
        <w:ind w:left="380"/>
      </w:pPr>
      <w:r>
        <w:rPr>
          <w:rFonts w:ascii="Times New Roman" w:cs="Times New Roman" w:eastAsia="Times New Roman" w:hAnsi="Times New Roman"/>
          <w:i/>
          <w:iCs/>
          <w:color w:val="A65D19"/>
          <w:sz w:val="20"/>
          <w:szCs w:val="20"/>
        </w:rPr>
        <w:t xml:space="preserve">[  ]% on an annual basis, excluding scheduled maintenance and events of Force Majeure.</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10.  COMMERCIAL OPERATION AND CONSTRUCTION MILESTONES</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10.1	</w:t>
      </w:r>
      <w:r>
        <w:rPr>
          <w:rFonts w:ascii="Times New Roman" w:cs="Times New Roman" w:eastAsia="Times New Roman" w:hAnsi="Times New Roman"/>
          <w:sz w:val="20"/>
          <w:szCs w:val="20"/>
        </w:rPr>
        <w:t xml:space="preserve">The Seller shall use reasonable endeavours to achieve the Commercial Operation Date by the target date set out in Schedule 1 (“the Target COD”).</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10.2	</w:t>
      </w:r>
      <w:r>
        <w:rPr>
          <w:rFonts w:ascii="Times New Roman" w:cs="Times New Roman" w:eastAsia="Times New Roman" w:hAnsi="Times New Roman"/>
          <w:sz w:val="20"/>
          <w:szCs w:val="20"/>
        </w:rPr>
        <w:t xml:space="preserve">Should the Seller fail to achieve the Commercial Operation Date by the Long Stop Date set out in Schedule 1, the Buyer may, as its sole remedy (save in the case of Seller default under Clause 15),</w:t>
      </w:r>
    </w:p>
    <w:p>
      <w:pPr>
        <w:spacing w:after="150" w:line="300"/>
        <w:ind w:left="380"/>
      </w:pPr>
      <w:r>
        <w:rPr>
          <w:rFonts w:ascii="Times New Roman" w:cs="Times New Roman" w:eastAsia="Times New Roman" w:hAnsi="Times New Roman"/>
          <w:i/>
          <w:iCs/>
          <w:color w:val="A65D19"/>
          <w:sz w:val="20"/>
          <w:szCs w:val="20"/>
        </w:rPr>
        <w:t xml:space="preserve">[claim delay liquidated damages of R[  ] per day up to a cap of [  ]% of the first Contract Year’s estimated revenue, and/or terminate this Agreement on written notice].</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11.  CREDIT SUPPORT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11.1	</w:t>
      </w:r>
      <w:r>
        <w:rPr>
          <w:rFonts w:ascii="Times New Roman" w:cs="Times New Roman" w:eastAsia="Times New Roman" w:hAnsi="Times New Roman"/>
          <w:sz w:val="20"/>
          <w:szCs w:val="20"/>
        </w:rPr>
        <w:t xml:space="preserve">On or before the Commercial Operation Date,</w:t>
      </w:r>
    </w:p>
    <w:p>
      <w:pPr>
        <w:spacing w:after="150" w:line="300"/>
        <w:ind w:left="380"/>
      </w:pPr>
      <w:r>
        <w:rPr>
          <w:rFonts w:ascii="Times New Roman" w:cs="Times New Roman" w:eastAsia="Times New Roman" w:hAnsi="Times New Roman"/>
          <w:i/>
          <w:iCs/>
          <w:color w:val="A65D19"/>
          <w:sz w:val="20"/>
          <w:szCs w:val="20"/>
        </w:rPr>
        <w:t xml:space="preserve">[the Buyer shall provide the Seller with credit support in the form of [a parent company guarantee / letter of credit / cash deposit] in an amount equal to [  ] months’ estimated payments under this Agreement, to secure the Buyer’s payment obligations].</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11.2	</w:t>
      </w:r>
      <w:r>
        <w:rPr>
          <w:rFonts w:ascii="Times New Roman" w:cs="Times New Roman" w:eastAsia="Times New Roman" w:hAnsi="Times New Roman"/>
          <w:sz w:val="20"/>
          <w:szCs w:val="20"/>
        </w:rPr>
        <w:t xml:space="preserve">Credit support provided under this Clause shall be maintained for the duration of the Term, and replenished within [  ] Business Days of any drawdown.</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12.  REPRESENTATIONS AND WARRANTIES</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12.1	</w:t>
      </w:r>
      <w:r>
        <w:rPr>
          <w:rFonts w:ascii="Times New Roman" w:cs="Times New Roman" w:eastAsia="Times New Roman" w:hAnsi="Times New Roman"/>
          <w:sz w:val="20"/>
          <w:szCs w:val="20"/>
        </w:rPr>
        <w:t xml:space="preserve">Each Party represents and warrants to the other, as at the Signature Date, that: (a) it is duly incorporated and validly existing under the laws of its jurisdiction of incorporation; (b) it has full power and authority to enter into and perform this Agreement; (c) this Agreement constitutes valid and binding obligations enforceable against it in accordance with its terms; and (d) entry into this Agreement does not breach any law, order, or agreement by which it is bound.</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13.  FORCE MAJEURE</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13.1	</w:t>
      </w:r>
      <w:r>
        <w:rPr>
          <w:rFonts w:ascii="Times New Roman" w:cs="Times New Roman" w:eastAsia="Times New Roman" w:hAnsi="Times New Roman"/>
          <w:sz w:val="20"/>
          <w:szCs w:val="20"/>
        </w:rPr>
        <w:t xml:space="preserve">“Force Majeure” means any event or circumstance beyond the reasonable control of the affected Party, including but not limited to acts of God, fire, flood, war, civil unrest, strikes (other than of the affected Party’s own employees), national electricity supply emergencies, or changes in law directly preventing performance, which could not have been prevented or mitigated by the exercise of reasonable diligence.</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13.2	</w:t>
      </w:r>
      <w:r>
        <w:rPr>
          <w:rFonts w:ascii="Times New Roman" w:cs="Times New Roman" w:eastAsia="Times New Roman" w:hAnsi="Times New Roman"/>
          <w:sz w:val="20"/>
          <w:szCs w:val="20"/>
        </w:rPr>
        <w:t xml:space="preserve">A Party affected by Force Majeure shall be excused from performance of its obligations (other than payment obligations which have already accrued) to the extent and for the duration that performance is prevented by such Force Majeure, provided that the affected Party gives prompt written notice and uses reasonable endeavours to mitigate the effects thereof.</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13.3	</w:t>
      </w:r>
      <w:r>
        <w:rPr>
          <w:rFonts w:ascii="Times New Roman" w:cs="Times New Roman" w:eastAsia="Times New Roman" w:hAnsi="Times New Roman"/>
          <w:sz w:val="20"/>
          <w:szCs w:val="20"/>
        </w:rPr>
        <w:t xml:space="preserve">Should an event of Force Majeure continue for a continuous period exceeding [  ] days, either Party may terminate this Agreement on written notice to the other, without liability save for accrued obligations.</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14.  CHANGE IN LAW</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14.1	</w:t>
      </w:r>
      <w:r>
        <w:rPr>
          <w:rFonts w:ascii="Times New Roman" w:cs="Times New Roman" w:eastAsia="Times New Roman" w:hAnsi="Times New Roman"/>
          <w:sz w:val="20"/>
          <w:szCs w:val="20"/>
        </w:rPr>
        <w:t xml:space="preserve">Should a Change in Law occur which materially increases the cost to either Party of performing its obligations under this Agreement, or materially affects the economics of the Facility, the Parties shall negotiate in good faith an equitable adjustment to the terms of this Agreement, including the Tariff, to restore the Parties to the position they would have been in but for such Change in Law.</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15.  DEFAULT AND TERMINATION</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15.1	</w:t>
      </w:r>
      <w:r>
        <w:rPr>
          <w:rFonts w:ascii="Times New Roman" w:cs="Times New Roman" w:eastAsia="Times New Roman" w:hAnsi="Times New Roman"/>
          <w:sz w:val="20"/>
          <w:szCs w:val="20"/>
        </w:rPr>
        <w:t xml:space="preserve">Each of the following shall constitute an “Event of Default” in relation to a Party (“the Defaulting Party”):</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(a)	</w:t>
      </w:r>
      <w:r>
        <w:rPr>
          <w:rFonts w:ascii="Times New Roman" w:cs="Times New Roman" w:eastAsia="Times New Roman" w:hAnsi="Times New Roman"/>
          <w:sz w:val="20"/>
          <w:szCs w:val="20"/>
        </w:rPr>
        <w:t xml:space="preserve">failure to pay any undisputed amount due under this Agreement within [  ] Business Days of written notice of such failure;</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(b)	</w:t>
      </w:r>
      <w:r>
        <w:rPr>
          <w:rFonts w:ascii="Times New Roman" w:cs="Times New Roman" w:eastAsia="Times New Roman" w:hAnsi="Times New Roman"/>
          <w:sz w:val="20"/>
          <w:szCs w:val="20"/>
        </w:rPr>
        <w:t xml:space="preserve">a material breach of this Agreement which is not remedied within [30] days of written notice requiring remedy;</w:t>
      </w:r>
    </w:p>
    <w:p>
      <w:pPr>
        <w:tabs>
          <w:tab w:val="left" w:pos="1100"/>
        </w:tabs>
        <w:spacing w:after="130" w:line="300"/>
        <w:ind w:left="760"/>
        <w:jc w:val="both"/>
      </w:pPr>
      <w:r>
        <w:rPr>
          <w:rFonts w:ascii="Times New Roman" w:cs="Times New Roman" w:eastAsia="Times New Roman" w:hAnsi="Times New Roman"/>
          <w:i/>
          <w:iCs/>
          <w:color w:val="0F2233"/>
          <w:sz w:val="20"/>
          <w:szCs w:val="20"/>
        </w:rPr>
        <w:t xml:space="preserve">(c)	</w:t>
      </w:r>
      <w:r>
        <w:rPr>
          <w:rFonts w:ascii="Times New Roman" w:cs="Times New Roman" w:eastAsia="Times New Roman" w:hAnsi="Times New Roman"/>
          <w:sz w:val="20"/>
          <w:szCs w:val="20"/>
        </w:rPr>
        <w:t xml:space="preserve">the Defaulting Party becoming insolvent, being placed under business rescue, or a resolution being passed for its winding-up (other than for a solvent restructuring).</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15.2	</w:t>
      </w:r>
      <w:r>
        <w:rPr>
          <w:rFonts w:ascii="Times New Roman" w:cs="Times New Roman" w:eastAsia="Times New Roman" w:hAnsi="Times New Roman"/>
          <w:sz w:val="20"/>
          <w:szCs w:val="20"/>
        </w:rPr>
        <w:t xml:space="preserve">On the occurrence of an Event of Default which is not remedied within the applicable cure period, the non-defaulting Party may, by written notice, terminate this Agreement with immediate effect and claim such damages as it may have suffered as a result, subject to Clause 16.</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15.3	</w:t>
      </w:r>
      <w:r>
        <w:rPr>
          <w:rFonts w:ascii="Times New Roman" w:cs="Times New Roman" w:eastAsia="Times New Roman" w:hAnsi="Times New Roman"/>
          <w:sz w:val="20"/>
          <w:szCs w:val="20"/>
        </w:rPr>
        <w:t xml:space="preserve">On termination of this Agreement for any reason, the Parties shall remain liable for all obligations accrued prior to the date of termination.</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16.  LIMITATION OF LIABILITY</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16.1	</w:t>
      </w:r>
      <w:r>
        <w:rPr>
          <w:rFonts w:ascii="Times New Roman" w:cs="Times New Roman" w:eastAsia="Times New Roman" w:hAnsi="Times New Roman"/>
          <w:sz w:val="20"/>
          <w:szCs w:val="20"/>
        </w:rPr>
        <w:t xml:space="preserve">Neither Party shall be liable to the other for any indirect, special, or consequential loss, including loss of profits or loss of revenue, whether arising in contract, delict, or otherwise, save in the case of fraud or wilful misconduct.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16.2	</w:t>
      </w:r>
      <w:r>
        <w:rPr>
          <w:rFonts w:ascii="Times New Roman" w:cs="Times New Roman" w:eastAsia="Times New Roman" w:hAnsi="Times New Roman"/>
          <w:sz w:val="20"/>
          <w:szCs w:val="20"/>
        </w:rPr>
        <w:t xml:space="preserve">Each Party’s aggregate liability under this Agreement in any Contract Year shall not exceed</w:t>
      </w:r>
    </w:p>
    <w:p>
      <w:pPr>
        <w:spacing w:after="150" w:line="300"/>
        <w:ind w:left="380"/>
      </w:pPr>
      <w:r>
        <w:rPr>
          <w:rFonts w:ascii="Times New Roman" w:cs="Times New Roman" w:eastAsia="Times New Roman" w:hAnsi="Times New Roman"/>
          <w:i/>
          <w:iCs/>
          <w:color w:val="A65D19"/>
          <w:sz w:val="20"/>
          <w:szCs w:val="20"/>
        </w:rPr>
        <w:t xml:space="preserve">[an amount to be agreed, commonly expressed as a multiple of annual contract value].</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17.  INSURANCE</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17.1	</w:t>
      </w:r>
      <w:r>
        <w:rPr>
          <w:rFonts w:ascii="Times New Roman" w:cs="Times New Roman" w:eastAsia="Times New Roman" w:hAnsi="Times New Roman"/>
          <w:sz w:val="20"/>
          <w:szCs w:val="20"/>
        </w:rPr>
        <w:t xml:space="preserve">The Seller shall maintain, at its own cost, insurance customary for a facility of this nature, including construction all-risks, operational property damage, business interruption, and public liability insurance, in amounts consistent with industry practice and any requirements of the Seller’s project lenders.</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18.  DISPUTE RESOLUTION</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18.1	</w:t>
      </w:r>
      <w:r>
        <w:rPr>
          <w:rFonts w:ascii="Times New Roman" w:cs="Times New Roman" w:eastAsia="Times New Roman" w:hAnsi="Times New Roman"/>
          <w:sz w:val="20"/>
          <w:szCs w:val="20"/>
        </w:rPr>
        <w:t xml:space="preserve">The Parties shall attempt to resolve any dispute arising out of or in connection with this Agreement through good-faith negotiation between their respective senior representatives within [  ] Business Days of written notice of the dispute.</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18.2	</w:t>
      </w:r>
      <w:r>
        <w:rPr>
          <w:rFonts w:ascii="Times New Roman" w:cs="Times New Roman" w:eastAsia="Times New Roman" w:hAnsi="Times New Roman"/>
          <w:sz w:val="20"/>
          <w:szCs w:val="20"/>
        </w:rPr>
        <w:t xml:space="preserve">Should the dispute not be resolved within such period, it shall be referred to and finally resolved by arbitration administered by the Arbitration Foundation of Southern Africa (AFSA) in accordance with its rules, by a single arbitrator, in</w:t>
      </w:r>
    </w:p>
    <w:p>
      <w:pPr>
        <w:spacing w:after="150" w:line="300"/>
        <w:ind w:left="380"/>
      </w:pPr>
      <w:r>
        <w:rPr>
          <w:rFonts w:ascii="Times New Roman" w:cs="Times New Roman" w:eastAsia="Times New Roman" w:hAnsi="Times New Roman"/>
          <w:i/>
          <w:iCs/>
          <w:color w:val="A65D19"/>
          <w:sz w:val="20"/>
          <w:szCs w:val="20"/>
        </w:rPr>
        <w:t xml:space="preserve">[Johannesburg / Cape Town], in the English language.</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18.3	</w:t>
      </w:r>
      <w:r>
        <w:rPr>
          <w:rFonts w:ascii="Times New Roman" w:cs="Times New Roman" w:eastAsia="Times New Roman" w:hAnsi="Times New Roman"/>
          <w:sz w:val="20"/>
          <w:szCs w:val="20"/>
        </w:rPr>
        <w:t xml:space="preserve">Nothing in this Clause shall preclude either Party from seeking urgent interim relief from a court of competent jurisdiction.</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19.  CONFIDENTIALITY</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19.1	</w:t>
      </w:r>
      <w:r>
        <w:rPr>
          <w:rFonts w:ascii="Times New Roman" w:cs="Times New Roman" w:eastAsia="Times New Roman" w:hAnsi="Times New Roman"/>
          <w:sz w:val="20"/>
          <w:szCs w:val="20"/>
        </w:rPr>
        <w:t xml:space="preserve">Each Party shall keep confidential the terms of this Agreement and any proprietary information disclosed by the other Party, save for disclosure required by law, to professional advisers, to actual or prospective financiers or investors under a duty of confidentiality, or with the prior written consent of the disclosing Party.</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20.  ASSIGNMENT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20.1	</w:t>
      </w:r>
      <w:r>
        <w:rPr>
          <w:rFonts w:ascii="Times New Roman" w:cs="Times New Roman" w:eastAsia="Times New Roman" w:hAnsi="Times New Roman"/>
          <w:sz w:val="20"/>
          <w:szCs w:val="20"/>
        </w:rPr>
        <w:t xml:space="preserve">Neither Party may cede, assign, or delegate its rights or obligations under this Agreement without the prior written consent of the other Party, such consent not to be unreasonably withheld, save that the Seller may, without the Buyer’s consent, cede and assign its rights under this Agreement by way of security to its project lenders.</w:t>
      </w:r>
    </w:p>
    <w:p>
      <w:pPr>
        <w:pStyle w:val="Heading1"/>
        <w:keepNext/>
        <w:pBdr>
          <w:bottom w:val="single" w:color="C9B37A" w:sz="4" w:space="5"/>
        </w:pBdr>
        <w:spacing w:after="160" w:before="380"/>
      </w:pPr>
      <w:r>
        <w:rPr>
          <w:rFonts w:ascii="Times New Roman" w:cs="Times New Roman" w:eastAsia="Times New Roman" w:hAnsi="Times New Roman"/>
          <w:b/>
          <w:bCs/>
          <w:color w:val="0F2233"/>
          <w:spacing w:val="10"/>
          <w:sz w:val="23"/>
          <w:szCs w:val="23"/>
        </w:rPr>
        <w:t xml:space="preserve">21.  GENERAL</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21.1	</w:t>
      </w:r>
      <w:r>
        <w:rPr>
          <w:rFonts w:ascii="Times New Roman" w:cs="Times New Roman" w:eastAsia="Times New Roman" w:hAnsi="Times New Roman"/>
          <w:sz w:val="20"/>
          <w:szCs w:val="20"/>
        </w:rPr>
        <w:t xml:space="preserve">This Agreement constitutes the entire agreement between the Parties in relation to its subject matter and supersedes all prior agreements, representations, and understandings, whether written or oral.</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21.2	</w:t>
      </w:r>
      <w:r>
        <w:rPr>
          <w:rFonts w:ascii="Times New Roman" w:cs="Times New Roman" w:eastAsia="Times New Roman" w:hAnsi="Times New Roman"/>
          <w:sz w:val="20"/>
          <w:szCs w:val="20"/>
        </w:rPr>
        <w:t xml:space="preserve">No amendment or variation of this Agreement shall be of any force or effect unless reduced to writing and signed by both Parties.</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21.3	</w:t>
      </w:r>
      <w:r>
        <w:rPr>
          <w:rFonts w:ascii="Times New Roman" w:cs="Times New Roman" w:eastAsia="Times New Roman" w:hAnsi="Times New Roman"/>
          <w:sz w:val="20"/>
          <w:szCs w:val="20"/>
        </w:rPr>
        <w:t xml:space="preserve">If any provision of this Agreement is found to be invalid or unenforceable, such provision shall be severed and the remainder of the Agreement shall continue in full force and effect.</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21.4	</w:t>
      </w:r>
      <w:r>
        <w:rPr>
          <w:rFonts w:ascii="Times New Roman" w:cs="Times New Roman" w:eastAsia="Times New Roman" w:hAnsi="Times New Roman"/>
          <w:sz w:val="20"/>
          <w:szCs w:val="20"/>
        </w:rPr>
        <w:t xml:space="preserve">This Agreement shall be governed by and construed in accordance with the laws of the Republic of South Africa.</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21.5	</w:t>
      </w:r>
      <w:r>
        <w:rPr>
          <w:rFonts w:ascii="Times New Roman" w:cs="Times New Roman" w:eastAsia="Times New Roman" w:hAnsi="Times New Roman"/>
          <w:sz w:val="20"/>
          <w:szCs w:val="20"/>
        </w:rPr>
        <w:t xml:space="preserve">Notices shall be given in writing and delivered to the addresses set out in Schedule 1, or such other address as a Party may notify in writing to the other.</w:t>
      </w:r>
    </w:p>
    <w:p>
      <w:pPr>
        <w:tabs>
          <w:tab w:val="left" w:pos="760"/>
        </w:tabs>
        <w:spacing w:after="150" w:line="300"/>
        <w:ind w:left="380"/>
        <w:jc w:val="both"/>
      </w:pPr>
      <w:r>
        <w:rPr>
          <w:rFonts w:ascii="Times New Roman" w:cs="Times New Roman" w:eastAsia="Times New Roman" w:hAnsi="Times New Roman"/>
          <w:b/>
          <w:bCs/>
          <w:color w:val="0F2233"/>
          <w:sz w:val="20"/>
          <w:szCs w:val="20"/>
        </w:rPr>
        <w:t xml:space="preserve">21.6	</w:t>
      </w:r>
      <w:r>
        <w:rPr>
          <w:rFonts w:ascii="Times New Roman" w:cs="Times New Roman" w:eastAsia="Times New Roman" w:hAnsi="Times New Roman"/>
          <w:sz w:val="20"/>
          <w:szCs w:val="20"/>
        </w:rPr>
        <w:t xml:space="preserve">This Agreement may be signed in counterparts, each of which shall be deemed an original.</w:t>
      </w:r>
    </w:p>
    <w:p>
      <w:r>
        <w:br w:type="page"/>
      </w:r>
    </w:p>
    <w:p>
      <w:pPr>
        <w:pStyle w:val="Heading1"/>
        <w:pBdr>
          <w:bottom w:val="single" w:color="C9B37A" w:sz="4" w:space="5"/>
        </w:pBdr>
        <w:spacing w:after="220"/>
      </w:pPr>
      <w:r>
        <w:rPr>
          <w:rFonts w:ascii="Times New Roman" w:cs="Times New Roman" w:eastAsia="Times New Roman" w:hAnsi="Times New Roman"/>
          <w:b/>
          <w:bCs/>
          <w:color w:val="0F2233"/>
          <w:spacing w:val="10"/>
          <w:sz w:val="23"/>
          <w:szCs w:val="23"/>
        </w:rPr>
        <w:t xml:space="preserve">SIGNATURE PAGE</w:t>
      </w:r>
    </w:p>
    <w:p>
      <w:pPr>
        <w:spacing w:after="150" w:line="300"/>
        <w:jc w:val="both"/>
      </w:pPr>
      <w:r>
        <w:rPr>
          <w:rFonts w:ascii="Times New Roman" w:cs="Times New Roman" w:eastAsia="Times New Roman" w:hAnsi="Times New Roman"/>
          <w:sz w:val="20"/>
          <w:szCs w:val="20"/>
        </w:rPr>
        <w:t xml:space="preserve">SIGNED at [place] on this [  ] day of [        ], 20[  ], for and on behalf of MOLOI ENERGY HOLDINGS (PTY) LTD (“the Seller”):</w:t>
      </w:r>
    </w:p>
    <w:p>
      <w:pPr>
        <w:pBdr>
          <w:bottom w:val="single" w:color="000000" w:sz="4" w:space="1"/>
        </w:pBdr>
        <w:spacing w:after="60" w:before="260"/>
      </w:pPr>
      <w:r>
        <w:rPr>
          <w:rFonts w:ascii="Times New Roman" w:cs="Times New Roman" w:eastAsia="Times New Roman" w:hAnsi="Times New Roman"/>
          <w:sz w:val="20"/>
          <w:szCs w:val="20"/>
        </w:rPr>
        <w:t xml:space="preserve">                                                            </w:t>
      </w:r>
    </w:p>
    <w:p>
      <w:pPr>
        <w:spacing w:after="150" w:line="300"/>
        <w:jc w:val="both"/>
      </w:pPr>
      <w:r>
        <w:rPr>
          <w:rFonts w:ascii="Times New Roman" w:cs="Times New Roman" w:eastAsia="Times New Roman" w:hAnsi="Times New Roman"/>
          <w:i/>
          <w:iCs/>
          <w:color w:val="595959"/>
          <w:sz w:val="20"/>
          <w:szCs w:val="20"/>
        </w:rPr>
        <w:t xml:space="preserve">Signature</w:t>
      </w:r>
    </w:p>
    <w:p>
      <w:pPr>
        <w:pBdr>
          <w:bottom w:val="single" w:color="000000" w:sz="4" w:space="1"/>
        </w:pBdr>
        <w:spacing w:after="60" w:before="260"/>
      </w:pPr>
      <w:r>
        <w:rPr>
          <w:rFonts w:ascii="Times New Roman" w:cs="Times New Roman" w:eastAsia="Times New Roman" w:hAnsi="Times New Roman"/>
          <w:sz w:val="20"/>
          <w:szCs w:val="20"/>
        </w:rPr>
        <w:t xml:space="preserve">                                                            </w:t>
      </w:r>
    </w:p>
    <w:p>
      <w:pPr>
        <w:spacing w:after="150" w:line="300"/>
        <w:jc w:val="both"/>
      </w:pPr>
      <w:r>
        <w:rPr>
          <w:rFonts w:ascii="Times New Roman" w:cs="Times New Roman" w:eastAsia="Times New Roman" w:hAnsi="Times New Roman"/>
          <w:i/>
          <w:iCs/>
          <w:color w:val="595959"/>
          <w:sz w:val="20"/>
          <w:szCs w:val="20"/>
        </w:rPr>
        <w:t xml:space="preserve">Name (print)</w:t>
      </w:r>
    </w:p>
    <w:p>
      <w:pPr>
        <w:pBdr>
          <w:bottom w:val="single" w:color="000000" w:sz="4" w:space="1"/>
        </w:pBdr>
        <w:spacing w:after="60" w:before="260"/>
      </w:pPr>
      <w:r>
        <w:rPr>
          <w:rFonts w:ascii="Times New Roman" w:cs="Times New Roman" w:eastAsia="Times New Roman" w:hAnsi="Times New Roman"/>
          <w:sz w:val="20"/>
          <w:szCs w:val="20"/>
        </w:rPr>
        <w:t xml:space="preserve">                                                            </w:t>
      </w:r>
    </w:p>
    <w:p>
      <w:pPr>
        <w:spacing w:after="150" w:line="300"/>
        <w:jc w:val="both"/>
      </w:pPr>
      <w:r>
        <w:rPr>
          <w:rFonts w:ascii="Times New Roman" w:cs="Times New Roman" w:eastAsia="Times New Roman" w:hAnsi="Times New Roman"/>
          <w:i/>
          <w:iCs/>
          <w:color w:val="595959"/>
          <w:sz w:val="20"/>
          <w:szCs w:val="20"/>
        </w:rPr>
        <w:t xml:space="preserve">Designation</w:t>
      </w:r>
    </w:p>
    <w:p>
      <w:pPr>
        <w:pBdr>
          <w:bottom w:val="single" w:color="000000" w:sz="4" w:space="1"/>
        </w:pBdr>
        <w:spacing w:after="60" w:before="260"/>
      </w:pPr>
      <w:r>
        <w:rPr>
          <w:rFonts w:ascii="Times New Roman" w:cs="Times New Roman" w:eastAsia="Times New Roman" w:hAnsi="Times New Roman"/>
          <w:sz w:val="20"/>
          <w:szCs w:val="20"/>
        </w:rPr>
        <w:t xml:space="preserve">                                                            </w:t>
      </w:r>
    </w:p>
    <w:p>
      <w:pPr>
        <w:spacing w:after="150" w:line="300"/>
        <w:jc w:val="both"/>
      </w:pPr>
      <w:r>
        <w:rPr>
          <w:rFonts w:ascii="Times New Roman" w:cs="Times New Roman" w:eastAsia="Times New Roman" w:hAnsi="Times New Roman"/>
          <w:i/>
          <w:iCs/>
          <w:color w:val="595959"/>
          <w:sz w:val="20"/>
          <w:szCs w:val="20"/>
        </w:rPr>
        <w:t xml:space="preserve">Witness</w:t>
      </w:r>
    </w:p>
    <w:p>
      <w:r>
        <w:br w:type="page"/>
      </w:r>
    </w:p>
    <w:p>
      <w:pPr>
        <w:spacing w:after="150" w:line="300"/>
        <w:jc w:val="both"/>
      </w:pPr>
      <w:r>
        <w:rPr>
          <w:rFonts w:ascii="Times New Roman" w:cs="Times New Roman" w:eastAsia="Times New Roman" w:hAnsi="Times New Roman"/>
          <w:sz w:val="20"/>
          <w:szCs w:val="20"/>
        </w:rPr>
        <w:t xml:space="preserve">SIGNED at [place] on this [  ] day of [        ], 20[  ], for and on behalf of [FULL LEGAL NAME] (“the Buyer”):</w:t>
      </w:r>
    </w:p>
    <w:p>
      <w:pPr>
        <w:pBdr>
          <w:bottom w:val="single" w:color="000000" w:sz="4" w:space="1"/>
        </w:pBdr>
        <w:spacing w:after="60" w:before="260"/>
      </w:pPr>
      <w:r>
        <w:rPr>
          <w:rFonts w:ascii="Times New Roman" w:cs="Times New Roman" w:eastAsia="Times New Roman" w:hAnsi="Times New Roman"/>
          <w:sz w:val="20"/>
          <w:szCs w:val="20"/>
        </w:rPr>
        <w:t xml:space="preserve">                                                            </w:t>
      </w:r>
    </w:p>
    <w:p>
      <w:pPr>
        <w:spacing w:after="150" w:line="300"/>
        <w:jc w:val="both"/>
      </w:pPr>
      <w:r>
        <w:rPr>
          <w:rFonts w:ascii="Times New Roman" w:cs="Times New Roman" w:eastAsia="Times New Roman" w:hAnsi="Times New Roman"/>
          <w:i/>
          <w:iCs/>
          <w:color w:val="595959"/>
          <w:sz w:val="20"/>
          <w:szCs w:val="20"/>
        </w:rPr>
        <w:t xml:space="preserve">Signature</w:t>
      </w:r>
    </w:p>
    <w:p>
      <w:pPr>
        <w:pBdr>
          <w:bottom w:val="single" w:color="000000" w:sz="4" w:space="1"/>
        </w:pBdr>
        <w:spacing w:after="60" w:before="260"/>
      </w:pPr>
      <w:r>
        <w:rPr>
          <w:rFonts w:ascii="Times New Roman" w:cs="Times New Roman" w:eastAsia="Times New Roman" w:hAnsi="Times New Roman"/>
          <w:sz w:val="20"/>
          <w:szCs w:val="20"/>
        </w:rPr>
        <w:t xml:space="preserve">                                                            </w:t>
      </w:r>
    </w:p>
    <w:p>
      <w:pPr>
        <w:spacing w:after="150" w:line="300"/>
        <w:jc w:val="both"/>
      </w:pPr>
      <w:r>
        <w:rPr>
          <w:rFonts w:ascii="Times New Roman" w:cs="Times New Roman" w:eastAsia="Times New Roman" w:hAnsi="Times New Roman"/>
          <w:i/>
          <w:iCs/>
          <w:color w:val="595959"/>
          <w:sz w:val="20"/>
          <w:szCs w:val="20"/>
        </w:rPr>
        <w:t xml:space="preserve">Name (print)</w:t>
      </w:r>
    </w:p>
    <w:p>
      <w:pPr>
        <w:pBdr>
          <w:bottom w:val="single" w:color="000000" w:sz="4" w:space="1"/>
        </w:pBdr>
        <w:spacing w:after="60" w:before="260"/>
      </w:pPr>
      <w:r>
        <w:rPr>
          <w:rFonts w:ascii="Times New Roman" w:cs="Times New Roman" w:eastAsia="Times New Roman" w:hAnsi="Times New Roman"/>
          <w:sz w:val="20"/>
          <w:szCs w:val="20"/>
        </w:rPr>
        <w:t xml:space="preserve">                                                            </w:t>
      </w:r>
    </w:p>
    <w:p>
      <w:pPr>
        <w:spacing w:after="150" w:line="300"/>
        <w:jc w:val="both"/>
      </w:pPr>
      <w:r>
        <w:rPr>
          <w:rFonts w:ascii="Times New Roman" w:cs="Times New Roman" w:eastAsia="Times New Roman" w:hAnsi="Times New Roman"/>
          <w:i/>
          <w:iCs/>
          <w:color w:val="595959"/>
          <w:sz w:val="20"/>
          <w:szCs w:val="20"/>
        </w:rPr>
        <w:t xml:space="preserve">Designation</w:t>
      </w:r>
    </w:p>
    <w:p>
      <w:pPr>
        <w:pBdr>
          <w:bottom w:val="single" w:color="000000" w:sz="4" w:space="1"/>
        </w:pBdr>
        <w:spacing w:after="60" w:before="260"/>
      </w:pPr>
      <w:r>
        <w:rPr>
          <w:rFonts w:ascii="Times New Roman" w:cs="Times New Roman" w:eastAsia="Times New Roman" w:hAnsi="Times New Roman"/>
          <w:sz w:val="20"/>
          <w:szCs w:val="20"/>
        </w:rPr>
        <w:t xml:space="preserve">                                                            </w:t>
      </w:r>
    </w:p>
    <w:p>
      <w:pPr>
        <w:spacing w:after="150" w:line="300"/>
        <w:jc w:val="both"/>
      </w:pPr>
      <w:r>
        <w:rPr>
          <w:rFonts w:ascii="Times New Roman" w:cs="Times New Roman" w:eastAsia="Times New Roman" w:hAnsi="Times New Roman"/>
          <w:i/>
          <w:iCs/>
          <w:color w:val="595959"/>
          <w:sz w:val="20"/>
          <w:szCs w:val="20"/>
        </w:rPr>
        <w:t xml:space="preserve">Witness</w:t>
      </w:r>
    </w:p>
    <w:p>
      <w:r>
        <w:br w:type="page"/>
      </w:r>
    </w:p>
    <w:p>
      <w:pPr>
        <w:pStyle w:val="Heading1"/>
        <w:keepNext/>
        <w:pBdr>
          <w:bottom w:val="single" w:color="C9B37A" w:sz="4" w:space="5"/>
        </w:pBdr>
        <w:spacing w:after="180" w:before="440"/>
      </w:pPr>
      <w:r>
        <w:rPr>
          <w:rFonts w:ascii="Times New Roman" w:cs="Times New Roman" w:eastAsia="Times New Roman" w:hAnsi="Times New Roman"/>
          <w:b/>
          <w:bCs/>
          <w:color w:val="0F2233"/>
          <w:spacing w:val="10"/>
          <w:sz w:val="23"/>
          <w:szCs w:val="23"/>
        </w:rPr>
        <w:t xml:space="preserve">SCHEDULE 1 — COMMERCIAL TERMS SUMMARY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6%"/>
            <w:shd w:fill="0F2233"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FFFFFF"/>
                <w:sz w:val="19"/>
                <w:szCs w:val="19"/>
              </w:rPr>
              <w:t xml:space="preserve">COMMERCIAL TERM</w:t>
            </w:r>
          </w:p>
        </w:tc>
        <w:tc>
          <w:tcPr>
            <w:tcW w:type="pct" w:w="64%"/>
            <w:shd w:fill="0F2233"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FFFFFF"/>
                <w:sz w:val="19"/>
                <w:szCs w:val="19"/>
              </w:rPr>
              <w:t xml:space="preserve">SUMMARY</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Seller</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Moloi Energy Holdings (Pty) Ltd (Reg. No. 2025/968642/07)</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Buyer</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[Full legal name and registration number of offtaker]</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Facility</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[650 MW / phase MW] utility-scale solar PV facility, Upington, Northern Cape</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Contract Capacity</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    ] MW firm / as-generated, as set out in Schedule 1</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Delivery Point</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[Eskom Upington Main Transmission Substation / specified point of supply]</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Commercial Operation Date (Target)</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[Date] (Long Stop Date: [Date])</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Term</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  ] years from Commercial Operation Date</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Base Tariff</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R [   ] / kWh (Year 1), escalating annually at [CPI / fixed %]</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Payment Terms</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Monthly invoicing in arrears; payable within [  ] Business Days</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Offtake Structure</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[Bilateral PPA / Wheeling Agreement via Eskom or municipal network]</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Governing Law</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Republic of South Africa</w:t>
            </w:r>
          </w:p>
        </w:tc>
      </w:tr>
    </w:tbl>
    <w:p>
      <w:pPr>
        <w:spacing w:before="300"/>
      </w:pPr>
    </w:p>
    <w:p>
      <w:pPr>
        <w:pStyle w:val="Heading1"/>
        <w:keepNext/>
        <w:pBdr>
          <w:bottom w:val="single" w:color="C9B37A" w:sz="4" w:space="5"/>
        </w:pBdr>
        <w:spacing w:after="180" w:before="440"/>
      </w:pPr>
      <w:r>
        <w:rPr>
          <w:rFonts w:ascii="Times New Roman" w:cs="Times New Roman" w:eastAsia="Times New Roman" w:hAnsi="Times New Roman"/>
          <w:b/>
          <w:bCs/>
          <w:color w:val="0F2233"/>
          <w:spacing w:val="10"/>
          <w:sz w:val="23"/>
          <w:szCs w:val="23"/>
        </w:rPr>
        <w:t xml:space="preserve">SCHEDULE 2 — DELIVERY POINT, METERING AND WHEELING</w:t>
      </w:r>
    </w:p>
    <w:p>
      <w:pPr>
        <w:spacing w:after="150" w:line="300"/>
        <w:jc w:val="both"/>
      </w:pPr>
      <w:r>
        <w:rPr>
          <w:rFonts w:ascii="Times New Roman" w:cs="Times New Roman" w:eastAsia="Times New Roman" w:hAnsi="Times New Roman"/>
          <w:i/>
          <w:iCs/>
          <w:color w:val="595959"/>
          <w:sz w:val="20"/>
          <w:szCs w:val="20"/>
        </w:rPr>
        <w:t xml:space="preserve">[Insert: single-line diagram or description of the Delivery Point; Metering Equipment specification and location; details of the Wheeling Agreement(s) required and the Party responsible for concluding and funding each; network operator(s) involved (Eskom and/or municipal distributor).]</w:t>
      </w:r>
    </w:p>
    <w:p>
      <w:pPr>
        <w:pStyle w:val="Heading1"/>
        <w:keepNext/>
        <w:pBdr>
          <w:bottom w:val="single" w:color="C9B37A" w:sz="4" w:space="5"/>
        </w:pBdr>
        <w:spacing w:after="180" w:before="440"/>
      </w:pPr>
      <w:r>
        <w:rPr>
          <w:rFonts w:ascii="Times New Roman" w:cs="Times New Roman" w:eastAsia="Times New Roman" w:hAnsi="Times New Roman"/>
          <w:b/>
          <w:bCs/>
          <w:color w:val="0F2233"/>
          <w:spacing w:val="10"/>
          <w:sz w:val="23"/>
          <w:szCs w:val="23"/>
        </w:rPr>
        <w:t xml:space="preserve">SCHEDULE 3 — FORECASTING, SCHEDULING AND CURTAILMENT COMPENSATION</w:t>
      </w:r>
    </w:p>
    <w:p>
      <w:pPr>
        <w:spacing w:after="150" w:line="300"/>
        <w:jc w:val="both"/>
      </w:pPr>
      <w:r>
        <w:rPr>
          <w:rFonts w:ascii="Times New Roman" w:cs="Times New Roman" w:eastAsia="Times New Roman" w:hAnsi="Times New Roman"/>
          <w:i/>
          <w:iCs/>
          <w:color w:val="595959"/>
          <w:sz w:val="20"/>
          <w:szCs w:val="20"/>
        </w:rPr>
        <w:t xml:space="preserve">[Insert: day-ahead/month-ahead forecasting and nomination procedures; treatment of over- and under-delivery against nominated volumes; formula for compensation payable on Buyer-instructed Curtailment; any take-or-pay or minimum offtake provisions.]</w:t>
      </w:r>
    </w:p>
    <w:p>
      <w:pPr>
        <w:pStyle w:val="Heading1"/>
        <w:keepNext/>
        <w:pBdr>
          <w:bottom w:val="single" w:color="C9B37A" w:sz="4" w:space="5"/>
        </w:pBdr>
        <w:spacing w:after="180" w:before="440"/>
      </w:pPr>
      <w:r>
        <w:rPr>
          <w:rFonts w:ascii="Times New Roman" w:cs="Times New Roman" w:eastAsia="Times New Roman" w:hAnsi="Times New Roman"/>
          <w:b/>
          <w:bCs/>
          <w:color w:val="0F2233"/>
          <w:spacing w:val="10"/>
          <w:sz w:val="23"/>
          <w:szCs w:val="23"/>
        </w:rPr>
        <w:t xml:space="preserve">SCHEDULE 4 — FORM OF GUARANTEE / LETTER OF CREDIT</w:t>
      </w:r>
    </w:p>
    <w:p>
      <w:pPr>
        <w:spacing w:after="150" w:line="300"/>
        <w:jc w:val="both"/>
      </w:pPr>
      <w:r>
        <w:rPr>
          <w:rFonts w:ascii="Times New Roman" w:cs="Times New Roman" w:eastAsia="Times New Roman" w:hAnsi="Times New Roman"/>
          <w:i/>
          <w:iCs/>
          <w:color w:val="595959"/>
          <w:sz w:val="20"/>
          <w:szCs w:val="20"/>
        </w:rPr>
        <w:t xml:space="preserve">[Insert: agreed form of parent company guarantee, bank guarantee, or letter of credit required under Clause 11, including issuing bank requirements and minimum credit rating.]</w:t>
      </w:r>
    </w:p>
    <w:p>
      <w:pPr>
        <w:pStyle w:val="Heading1"/>
        <w:keepNext/>
        <w:pBdr>
          <w:bottom w:val="single" w:color="C9B37A" w:sz="4" w:space="5"/>
        </w:pBdr>
        <w:spacing w:after="180" w:before="440"/>
      </w:pPr>
      <w:r>
        <w:rPr>
          <w:rFonts w:ascii="Times New Roman" w:cs="Times New Roman" w:eastAsia="Times New Roman" w:hAnsi="Times New Roman"/>
          <w:b/>
          <w:bCs/>
          <w:color w:val="0F2233"/>
          <w:spacing w:val="10"/>
          <w:sz w:val="23"/>
          <w:szCs w:val="23"/>
        </w:rPr>
        <w:t xml:space="preserve">SCHEDULE 5 — NOTICES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6%"/>
            <w:shd w:fill="0F2233"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FFFFFF"/>
                <w:sz w:val="19"/>
                <w:szCs w:val="19"/>
              </w:rPr>
              <w:t xml:space="preserve">PARTY</w:t>
            </w:r>
          </w:p>
        </w:tc>
        <w:tc>
          <w:tcPr>
            <w:tcW w:type="pct" w:w="64%"/>
            <w:shd w:fill="0F2233"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FFFFFF"/>
                <w:sz w:val="19"/>
                <w:szCs w:val="19"/>
              </w:rPr>
              <w:t xml:space="preserve">ADDRESS FOR NOTICES</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Moloi Energy Holdings (Pty) Ltd</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Email: tubatsimoloi@moloienergy.com  ·  Tel: 060 566 8997  ·  www.moloienergy.com</w:t>
            </w:r>
          </w:p>
        </w:tc>
      </w:tr>
      <w:tr>
        <w:tc>
          <w:tcPr>
            <w:tcW w:type="pct" w:w="36%"/>
            <w:shd w:fill="F8F6F0" w:val="clear"/>
            <w:tcMar>
              <w:top w:type="dxa" w:w="100"/>
              <w:left w:type="dxa" w:w="140"/>
              <w:bottom w:type="dxa" w:w="100"/>
              <w:right w:type="dxa" w:w="140"/>
            </w:tcMar>
            <w:vAlign w:val="center"/>
          </w:tcPr>
          <w:p>
            <w:r>
              <w:rPr>
                <w:rFonts w:ascii="Times New Roman" w:cs="Times New Roman" w:eastAsia="Times New Roman" w:hAnsi="Times New Roman"/>
                <w:b/>
                <w:bCs/>
                <w:i w:val="false"/>
                <w:iCs w:val="false"/>
                <w:color w:val="0F2233"/>
                <w:sz w:val="19"/>
                <w:szCs w:val="19"/>
              </w:rPr>
              <w:t xml:space="preserve">[Buyer]</w:t>
            </w:r>
          </w:p>
        </w:tc>
        <w:tc>
          <w:tcPr>
            <w:tcW w:type="pct" w:w="64%"/>
            <w:shd w:fill="FFFFFF" w:val="clear"/>
            <w:tcMar>
              <w:top w:type="dxa" w:w="100"/>
              <w:left w:type="dxa" w:w="140"/>
              <w:bottom w:type="dxa" w:w="100"/>
              <w:right w:type="dxa" w:w="140"/>
            </w:tcMar>
            <w:vAlign w:val="center"/>
          </w:tcPr>
          <w:p>
            <w:r>
              <w:rPr>
                <w:rFonts w:ascii="Times New Roman" w:cs="Times New Roman" w:eastAsia="Times New Roman" w:hAnsi="Times New Roman"/>
                <w:b w:val="false"/>
                <w:bCs w:val="false"/>
                <w:i w:val="false"/>
                <w:iCs w:val="false"/>
                <w:color w:val="000000"/>
                <w:sz w:val="19"/>
                <w:szCs w:val="19"/>
              </w:rPr>
              <w:t xml:space="preserve">[Address / email / contact person]</w:t>
            </w:r>
          </w:p>
        </w:tc>
      </w:tr>
    </w:tbl>
    <w:sectPr>
      <w:headerReference w:type="default" r:id="rId9"/>
      <w:footerReference w:type="default" r:id="rId10"/>
      <w:pgSz w:w="11900" w:h="16840" w:orient="portrait"/>
      <w:pgMar w:top="1500" w:right="1500" w:bottom="1300" w:left="15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bottom w:val="single" w:color="D9D4C4" w:sz="3" w:space="1"/>
      </w:pBdr>
      <w:spacing w:after="0" w:before="0"/>
    </w:pPr>
  </w:p>
  <w:p>
    <w:pPr>
      <w:tabs>
        <w:tab w:val="right" w:pos="9026"/>
      </w:tabs>
      <w:spacing w:before="60"/>
    </w:pPr>
    <w:r>
      <w:rPr>
        <w:rFonts w:ascii="Times New Roman" w:cs="Times New Roman" w:eastAsia="Times New Roman" w:hAnsi="Times New Roman"/>
        <w:color w:val="A8ADB4"/>
        <w:sz w:val="14"/>
        <w:szCs w:val="14"/>
      </w:rPr>
      <w:t xml:space="preserve">POWER PURCHASE AGREEMENT  ·  DRAFT TEMPLATE</w:t>
    </w:r>
    <w:r>
      <w:rPr>
        <w:sz w:val="14"/>
        <w:szCs w:val="14"/>
      </w:rPr>
      <w:t xml:space="preserve">	</w:t>
    </w:r>
    <w:r>
      <w:rPr>
        <w:rFonts w:ascii="Times New Roman" w:cs="Times New Roman" w:eastAsia="Times New Roman" w:hAnsi="Times New Roman"/>
        <w:color w:val="A8ADB4"/>
        <w:sz w:val="14"/>
        <w:szCs w:val="14"/>
      </w:rPr>
      <w:fldChar w:fldCharType="begin"/>
      <w:instrText xml:space="preserve">PAGE</w:instrText>
      <w:fldChar w:fldCharType="separate"/>
      <w:fldChar w:fldCharType="end"/>
    </w:r>
    <w:r>
      <w:rPr>
        <w:rFonts w:ascii="Times New Roman" w:cs="Times New Roman" w:eastAsia="Times New Roman" w:hAnsi="Times New Roman"/>
        <w:color w:val="A8ADB4"/>
        <w:sz w:val="14"/>
        <w:szCs w:val="14"/>
      </w:rPr>
      <w:t xml:space="preserve"> of </w:t>
    </w:r>
    <w:r>
      <w:rPr>
        <w:rFonts w:ascii="Times New Roman" w:cs="Times New Roman" w:eastAsia="Times New Roman" w:hAnsi="Times New Roman"/>
        <w:color w:val="A8ADB4"/>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4619625">
          <wp:simplePos x="0" y="0"/>
          <wp:positionH relativeFrom="page">
            <wp:align>center</wp:align>
          </wp:positionH>
          <wp:positionV relativeFrom="page">
            <wp:align>center</wp:align>
          </wp:positionV>
          <wp:extent cx="4000500" cy="461962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000500" cy="4619625"/>
                  </a:xfrm>
                  <a:prstGeom prst="rect">
                    <a:avLst/>
                  </a:prstGeom>
                </pic:spPr>
              </pic:pic>
            </a:graphicData>
          </a:graphic>
        </wp:anchor>
      </w:drawing>
    </w:r>
  </w:p>
  <w:p>
    <w:pPr>
      <w:spacing w:after="0"/>
      <w:jc w:val="center"/>
    </w:pPr>
    <w:r>
      <w:rPr>
        <w:rFonts w:ascii="Times New Roman" w:cs="Times New Roman" w:eastAsia="Times New Roman" w:hAnsi="Times New Roman"/>
        <w:color w:val="A8ADB4"/>
        <w:spacing w:val="24"/>
        <w:sz w:val="14"/>
        <w:szCs w:val="14"/>
      </w:rPr>
      <w:t xml:space="preserve">MOLOI ENERGY HOLDINGS</w:t>
    </w:r>
  </w:p>
  <w:p>
    <w:pPr>
      <w:pBdr>
        <w:bottom w:val="single" w:color="D9D4C4" w:sz="3" w:space="1"/>
      </w:pBdr>
      <w:spacing w:after="0" w:befor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2602846824b3c32b96e6b6e0389def59192bccb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3dc21450b8cea230038c1b7a61f83daf34be7e4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2026-10-04T05:09:52.594Z</dcterms:created>
  <dcterms:modified xsi:type="dcterms:W3CDTF">2026-10-04T05:09:52.594Z</dcterms:modified>
</cp:coreProperties>
</file>

<file path=docProps/custom.xml><?xml version="1.0" encoding="utf-8"?>
<Properties xmlns="http://schemas.openxmlformats.org/officeDocument/2006/custom-properties" xmlns:vt="http://schemas.openxmlformats.org/officeDocument/2006/docPropsVTypes"/>
</file>